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15" w:rsidRPr="007A1115" w:rsidRDefault="007A1115" w:rsidP="007A111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1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</w:t>
      </w:r>
      <w:r w:rsidR="00D3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</w:t>
      </w:r>
      <w:r w:rsidRPr="007A1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TULO </w:t>
      </w:r>
      <w:r w:rsidR="00C87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VII</w:t>
      </w:r>
    </w:p>
    <w:p w:rsidR="007A1115" w:rsidRPr="007A1115" w:rsidRDefault="007A1115" w:rsidP="007A111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:rsidR="007A1115" w:rsidRPr="004A0BAC" w:rsidRDefault="007A1115" w:rsidP="007A111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u w:val="single"/>
          <w:lang w:val="es-ES"/>
        </w:rPr>
      </w:pPr>
      <w:r w:rsidRPr="004A0BAC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RÉGIMEN DE LOS </w:t>
      </w:r>
      <w:r w:rsidR="00A758DE" w:rsidRPr="004A0BAC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CONCURRENTES </w:t>
      </w:r>
      <w:r w:rsidRPr="004A0BAC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AMARRISTAS</w:t>
      </w:r>
      <w:r w:rsidRPr="004A0BAC">
        <w:rPr>
          <w:rFonts w:ascii="Arial" w:eastAsia="Times New Roman" w:hAnsi="Arial" w:cs="Arial"/>
          <w:sz w:val="24"/>
          <w:szCs w:val="24"/>
          <w:u w:val="single"/>
          <w:lang w:val="en-US"/>
        </w:rPr>
        <w:fldChar w:fldCharType="begin"/>
      </w:r>
      <w:r w:rsidRPr="004A0BAC">
        <w:rPr>
          <w:rFonts w:ascii="Arial" w:eastAsia="Times New Roman" w:hAnsi="Arial" w:cs="Arial"/>
          <w:sz w:val="24"/>
          <w:szCs w:val="24"/>
          <w:u w:val="single"/>
          <w:lang w:val="es-ES"/>
        </w:rPr>
        <w:instrText xml:space="preserve">PRIVATE </w:instrText>
      </w:r>
      <w:r w:rsidRPr="004A0BAC">
        <w:rPr>
          <w:rFonts w:ascii="Arial" w:eastAsia="Times New Roman" w:hAnsi="Arial" w:cs="Arial"/>
          <w:sz w:val="24"/>
          <w:szCs w:val="24"/>
          <w:u w:val="single"/>
          <w:lang w:val="en-US"/>
        </w:rPr>
        <w:fldChar w:fldCharType="end"/>
      </w:r>
    </w:p>
    <w:p w:rsidR="007A1115" w:rsidRPr="007A1115" w:rsidRDefault="007A1115" w:rsidP="007A1115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i/>
          <w:iCs/>
          <w:spacing w:val="-3"/>
          <w:sz w:val="24"/>
          <w:szCs w:val="24"/>
          <w:lang w:val="es-ES"/>
        </w:rPr>
        <w:tab/>
      </w:r>
    </w:p>
    <w:p w:rsidR="009F69EE" w:rsidRDefault="007A1115" w:rsidP="007A111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Art. 1. </w:t>
      </w:r>
      <w:r w:rsidR="00D15D5C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Concurrentes </w:t>
      </w:r>
      <w:proofErr w:type="spellStart"/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Amarristas</w:t>
      </w:r>
      <w:proofErr w:type="spellEnd"/>
      <w:r w:rsidR="00C60CA3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.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</w:p>
    <w:p w:rsidR="00D32A8B" w:rsidRDefault="00D32A8B" w:rsidP="007A111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F69EE" w:rsidRDefault="009F69EE" w:rsidP="007A111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35CD7">
        <w:rPr>
          <w:rFonts w:ascii="Arial" w:hAnsi="Arial" w:cs="Arial"/>
          <w:sz w:val="24"/>
          <w:szCs w:val="24"/>
        </w:rPr>
        <w:t xml:space="preserve">Persona física, </w:t>
      </w:r>
      <w:r w:rsidR="00D32A8B">
        <w:rPr>
          <w:rFonts w:ascii="Arial" w:hAnsi="Arial" w:cs="Arial"/>
          <w:sz w:val="24"/>
          <w:szCs w:val="24"/>
        </w:rPr>
        <w:t>que no es s</w:t>
      </w:r>
      <w:r w:rsidRPr="00035CD7">
        <w:rPr>
          <w:rFonts w:ascii="Arial" w:hAnsi="Arial" w:cs="Arial"/>
          <w:sz w:val="24"/>
          <w:szCs w:val="24"/>
        </w:rPr>
        <w:t xml:space="preserve">ocia del Centro Naval, </w:t>
      </w:r>
      <w:r w:rsidR="00D32A8B">
        <w:rPr>
          <w:rFonts w:ascii="Arial" w:hAnsi="Arial" w:cs="Arial"/>
          <w:sz w:val="24"/>
          <w:szCs w:val="24"/>
        </w:rPr>
        <w:t>y que satisface</w:t>
      </w:r>
      <w:r w:rsidRPr="00035CD7">
        <w:rPr>
          <w:rFonts w:ascii="Arial" w:hAnsi="Arial" w:cs="Arial"/>
          <w:sz w:val="24"/>
          <w:szCs w:val="24"/>
        </w:rPr>
        <w:t xml:space="preserve"> los requisitos </w:t>
      </w:r>
      <w:r w:rsidR="00D32A8B">
        <w:rPr>
          <w:rFonts w:ascii="Arial" w:hAnsi="Arial" w:cs="Arial"/>
          <w:sz w:val="24"/>
          <w:szCs w:val="24"/>
        </w:rPr>
        <w:t>establecidos para poder solicitar una a</w:t>
      </w:r>
      <w:r w:rsidRPr="00035CD7">
        <w:rPr>
          <w:rFonts w:ascii="Arial" w:hAnsi="Arial" w:cs="Arial"/>
          <w:sz w:val="24"/>
          <w:szCs w:val="24"/>
        </w:rPr>
        <w:t xml:space="preserve">marra en </w:t>
      </w:r>
      <w:r w:rsidR="00C60CA3">
        <w:rPr>
          <w:rFonts w:ascii="Arial" w:hAnsi="Arial" w:cs="Arial"/>
          <w:sz w:val="24"/>
          <w:szCs w:val="24"/>
        </w:rPr>
        <w:t>una</w:t>
      </w:r>
      <w:r w:rsidRPr="00035CD7">
        <w:rPr>
          <w:rFonts w:ascii="Arial" w:hAnsi="Arial" w:cs="Arial"/>
          <w:sz w:val="24"/>
          <w:szCs w:val="24"/>
        </w:rPr>
        <w:t xml:space="preserve"> Capitanía</w:t>
      </w:r>
      <w:r w:rsidR="00C60CA3">
        <w:rPr>
          <w:rFonts w:ascii="Arial" w:hAnsi="Arial" w:cs="Arial"/>
          <w:sz w:val="24"/>
          <w:szCs w:val="24"/>
        </w:rPr>
        <w:t xml:space="preserve"> del YCCN</w:t>
      </w:r>
      <w:r w:rsidRPr="00035CD7">
        <w:rPr>
          <w:rFonts w:ascii="Arial" w:hAnsi="Arial" w:cs="Arial"/>
          <w:sz w:val="24"/>
          <w:szCs w:val="24"/>
        </w:rPr>
        <w:t xml:space="preserve">. </w:t>
      </w:r>
    </w:p>
    <w:p w:rsidR="009F69EE" w:rsidRDefault="009F69EE" w:rsidP="007A111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Art. 2. Requisitos</w:t>
      </w:r>
      <w:r w:rsidR="00C60CA3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.</w:t>
      </w:r>
    </w:p>
    <w:p w:rsidR="007A1115" w:rsidRPr="007A1115" w:rsidRDefault="007A1115" w:rsidP="007A111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A758DE" w:rsidRDefault="007A1115" w:rsidP="00A758DE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360"/>
          <w:tab w:val="left" w:pos="792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Ser presentado por </w:t>
      </w:r>
      <w:r w:rsidR="00D32A8B">
        <w:rPr>
          <w:rFonts w:ascii="Arial" w:eastAsia="Times New Roman" w:hAnsi="Arial" w:cs="Arial"/>
          <w:spacing w:val="-3"/>
          <w:sz w:val="24"/>
          <w:szCs w:val="24"/>
          <w:lang w:val="es-ES"/>
        </w:rPr>
        <w:t>dos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Socio</w:t>
      </w:r>
      <w:r w:rsidR="00D32A8B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Activo</w:t>
      </w:r>
      <w:r w:rsidR="00D32A8B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del Centro Naval.</w:t>
      </w:r>
    </w:p>
    <w:p w:rsidR="007A1115" w:rsidRPr="00A758DE" w:rsidRDefault="007A1115" w:rsidP="00A758DE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360"/>
          <w:tab w:val="left" w:pos="792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Ser propietario de la embarcación para la que solicitará amarra.</w:t>
      </w:r>
    </w:p>
    <w:p w:rsidR="007A1115" w:rsidRPr="00A758DE" w:rsidRDefault="007A1115" w:rsidP="00A758DE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360"/>
          <w:tab w:val="left" w:pos="792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Firmar el correspondiente Contrato de Adhesión en vigor.</w:t>
      </w:r>
    </w:p>
    <w:p w:rsidR="007A1115" w:rsidRPr="00A758DE" w:rsidRDefault="007A1115" w:rsidP="00A758DE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360"/>
          <w:tab w:val="left" w:pos="792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Abonar el derecho de amarra establecido.</w:t>
      </w: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596DBF" w:rsidRPr="007A1115" w:rsidRDefault="00596DBF" w:rsidP="00596D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Art.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3</w:t>
      </w: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. Procedimiento para solicitar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ser Concurrente</w:t>
      </w: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 </w:t>
      </w:r>
      <w:proofErr w:type="spellStart"/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Amarrista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.</w:t>
      </w:r>
    </w:p>
    <w:p w:rsidR="00596DBF" w:rsidRPr="007A1115" w:rsidRDefault="00596DBF" w:rsidP="00596D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596DBF" w:rsidRPr="00A758DE" w:rsidRDefault="00596DBF" w:rsidP="00596DBF">
      <w:pPr>
        <w:pStyle w:val="Prrafodelista"/>
        <w:widowControl w:val="0"/>
        <w:numPr>
          <w:ilvl w:val="0"/>
          <w:numId w:val="3"/>
        </w:numPr>
        <w:tabs>
          <w:tab w:val="left" w:pos="0"/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El postulante a 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Concurrente </w:t>
      </w:r>
      <w:proofErr w:type="spellStart"/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</w:t>
      </w:r>
      <w:proofErr w:type="spellEnd"/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deberá llenar y firmar los formularios de “Solicitud de aceptación como </w:t>
      </w:r>
      <w:proofErr w:type="spellStart"/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</w:t>
      </w:r>
      <w:proofErr w:type="spellEnd"/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” y “Solicitud de 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A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marra de </w:t>
      </w:r>
      <w:proofErr w:type="spellStart"/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</w:t>
      </w:r>
      <w:proofErr w:type="spellEnd"/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”</w:t>
      </w:r>
    </w:p>
    <w:p w:rsidR="00596DBF" w:rsidRPr="00A758DE" w:rsidRDefault="00596DBF" w:rsidP="00596DBF">
      <w:pPr>
        <w:pStyle w:val="Prrafodelista"/>
        <w:widowControl w:val="0"/>
        <w:numPr>
          <w:ilvl w:val="0"/>
          <w:numId w:val="3"/>
        </w:numPr>
        <w:tabs>
          <w:tab w:val="left" w:pos="0"/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Dichos formularios deberán ser presentados en la Oficina Náutica de la Capitanía en la que se solicitará amarra, acompañados por la nota de presentación de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os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Socio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Activo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, dirigida al Sr. Presidente del Centro Naval.</w:t>
      </w:r>
    </w:p>
    <w:p w:rsidR="00596DBF" w:rsidRPr="00A758DE" w:rsidRDefault="00596DBF" w:rsidP="00596DBF">
      <w:pPr>
        <w:pStyle w:val="Prrafodelista"/>
        <w:widowControl w:val="0"/>
        <w:numPr>
          <w:ilvl w:val="0"/>
          <w:numId w:val="3"/>
        </w:numPr>
        <w:tabs>
          <w:tab w:val="left" w:pos="0"/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La 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O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ficina de 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N</w:t>
      </w:r>
      <w:r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áutica de la Capitanía, verificará la corrección de los datos volcados en los formularios, particularmente los de identidad del postulante y los de propiedad de la embarcación. A este efecto, sólo se aceptará el certificado de matrícula de la embarcación.</w:t>
      </w:r>
    </w:p>
    <w:p w:rsidR="00596DBF" w:rsidRDefault="00596DBF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</w:pPr>
    </w:p>
    <w:p w:rsidR="00596DBF" w:rsidRDefault="00596DBF" w:rsidP="00596D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Art. 4. Autoridad que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acepta la solicitud de amarra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. </w:t>
      </w:r>
    </w:p>
    <w:p w:rsidR="00596DBF" w:rsidRDefault="00596DBF" w:rsidP="00596D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596DBF" w:rsidRPr="007A1115" w:rsidRDefault="00596DBF" w:rsidP="00596DB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El Capitán de Puerto será la autoridad que asigne la amarra.</w:t>
      </w:r>
    </w:p>
    <w:p w:rsidR="00596DBF" w:rsidRDefault="00596DBF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</w:pPr>
    </w:p>
    <w:p w:rsidR="009F69EE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Art. </w:t>
      </w:r>
      <w:r w:rsidR="00596DBF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5</w:t>
      </w: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. Duración de la </w:t>
      </w:r>
      <w:r w:rsidR="00CD43C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asignación</w:t>
      </w: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.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9F69EE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Será por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un período de 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tiempo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inicial de tres años y a posteriori renovación anual </w:t>
      </w:r>
      <w:bookmarkStart w:id="0" w:name="_GoBack"/>
      <w:bookmarkEnd w:id="0"/>
      <w:r w:rsidR="006C0AC7">
        <w:rPr>
          <w:rFonts w:ascii="Arial" w:eastAsia="Times New Roman" w:hAnsi="Arial" w:cs="Arial"/>
          <w:spacing w:val="-3"/>
          <w:sz w:val="24"/>
          <w:szCs w:val="24"/>
          <w:lang w:val="es-ES"/>
        </w:rPr>
        <w:t>automática, en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tanto y en cuanto de cumplimiento a las normas para las 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apitanías y las de la 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ede o 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elegación en la que se encuentre la 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apitanía.</w:t>
      </w: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Art. 6. Extensión de la invitación a familiares directos.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    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El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Concurrente </w:t>
      </w:r>
      <w:proofErr w:type="spellStart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podrá solicitar la inscripción de su cónyuge e hijos menores de </w:t>
      </w:r>
      <w:r w:rsidR="00D32A8B">
        <w:rPr>
          <w:rFonts w:ascii="Arial" w:eastAsia="Times New Roman" w:hAnsi="Arial" w:cs="Arial"/>
          <w:spacing w:val="-3"/>
          <w:sz w:val="24"/>
          <w:szCs w:val="24"/>
          <w:lang w:val="es-ES"/>
        </w:rPr>
        <w:t>18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años, como Familiares de </w:t>
      </w:r>
      <w:proofErr w:type="spellStart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.</w:t>
      </w: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lastRenderedPageBreak/>
        <w:t>Art. 7.  Acceso a servicios.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Los 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Concurrentes </w:t>
      </w:r>
      <w:proofErr w:type="spellStart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Amarristas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tendrán acceso a los servicios náuticos de la Capitanía y otros servicios que brinde la Sede o Delegación. A tal efecto se los considerará “</w:t>
      </w:r>
      <w:r w:rsidR="00A758DE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Concurrentes”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d</w:t>
      </w:r>
      <w:r w:rsidR="00A758DE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e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Sede"/>
        </w:smartTagPr>
        <w:r w:rsidRPr="007A1115">
          <w:rPr>
            <w:rFonts w:ascii="Arial" w:eastAsia="Times New Roman" w:hAnsi="Arial" w:cs="Arial"/>
            <w:spacing w:val="-3"/>
            <w:sz w:val="24"/>
            <w:szCs w:val="24"/>
            <w:lang w:val="es-ES"/>
          </w:rPr>
          <w:t>la Sede</w:t>
        </w:r>
      </w:smartTag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/Delegación ante la que están acreditados. </w:t>
      </w: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D32A8B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Art. 8. Sujeción a las normas.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En toda circunstancia los 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Concurrentes </w:t>
      </w:r>
      <w:proofErr w:type="spellStart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Amarristas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estarán sujetos a las normas vigentes en el Centro </w:t>
      </w:r>
      <w:r w:rsidR="0068588D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Naval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,</w:t>
      </w:r>
      <w:r w:rsidR="0068588D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en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la Sede o Delegación ante la que están acreditados, </w:t>
      </w:r>
      <w:r w:rsidR="00C60CA3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las Normas para las Capitanías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y </w:t>
      </w:r>
      <w:r w:rsidR="00CD43C5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las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obligaciones que fije el Contrato de Adhesión.</w:t>
      </w:r>
    </w:p>
    <w:p w:rsidR="0068588D" w:rsidRDefault="0068588D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Ante el incumplimiento de las mencionadas normas, les serán de aplicación los mismos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las 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sanciones que correspondan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>a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Concurrentes de la respectiva Sede o Delegación.</w:t>
      </w: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9F69EE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Art. 9. Tarifas.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Los </w:t>
      </w:r>
      <w:r w:rsidR="00C60CA3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Concurrentes </w:t>
      </w:r>
      <w:proofErr w:type="spellStart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Amarristas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y sus Familiares abonarán el arancel mensual que establezca la Comisión Directiva del Centro Naval a propuesta de la 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Capitanía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correspondiente, más los aranceles y tasas vigentes para las actividades y servicios a los que tenga acceso.</w:t>
      </w: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9F69EE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Art. 10. Pérdida de la condición de </w:t>
      </w:r>
      <w:r w:rsidR="00A758DE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Concurrente </w:t>
      </w:r>
      <w:proofErr w:type="spellStart"/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>Amarrista</w:t>
      </w:r>
      <w:proofErr w:type="spellEnd"/>
      <w:r w:rsidRPr="007A1115">
        <w:rPr>
          <w:rFonts w:ascii="Arial" w:eastAsia="Times New Roman" w:hAnsi="Arial" w:cs="Arial"/>
          <w:b/>
          <w:bCs/>
          <w:spacing w:val="-3"/>
          <w:sz w:val="24"/>
          <w:szCs w:val="24"/>
          <w:lang w:val="es-ES"/>
        </w:rPr>
        <w:t xml:space="preserve">. 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La co</w:t>
      </w: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ndición de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="00C60CA3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Concurrente </w:t>
      </w:r>
      <w:proofErr w:type="spellStart"/>
      <w:r w:rsidR="00C60CA3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cesará por:</w:t>
      </w:r>
    </w:p>
    <w:p w:rsidR="007A1115" w:rsidRPr="009F69EE" w:rsidRDefault="007A1115" w:rsidP="009F69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A758DE" w:rsidRDefault="00C60CA3" w:rsidP="00D32A8B">
      <w:pPr>
        <w:pStyle w:val="Prrafodelista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Las establecidas en el Capítulo II, Art. 11 y 12</w:t>
      </w:r>
      <w:r w:rsidR="007A1115"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.</w:t>
      </w:r>
    </w:p>
    <w:p w:rsidR="007A1115" w:rsidRPr="00A758DE" w:rsidRDefault="00B6213C" w:rsidP="00D32A8B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No cumplimiento de las Normas vigentes.</w:t>
      </w:r>
    </w:p>
    <w:p w:rsidR="007A1115" w:rsidRPr="00A758DE" w:rsidRDefault="00B6213C" w:rsidP="00D32A8B">
      <w:pPr>
        <w:pStyle w:val="Prrafodelista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s-ES"/>
        </w:rPr>
        <w:t>L</w:t>
      </w:r>
      <w:r w:rsidR="007A1115" w:rsidRP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>as circunstancias previstas en el correspondiente Contrato de Adhesión.</w:t>
      </w: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D32A8B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En todos los casos anteriores, la decisión será tomada por 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el Comodoro, según lo informado por el Capitán de Puerto 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y elevando el informe a la Comisión Directiva del Centro Naval.  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A758DE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Además,</w:t>
      </w:r>
      <w:r w:rsidR="007A1115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se informará esta decisión a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="007A1115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l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os</w:t>
      </w:r>
      <w:r w:rsidR="007A1115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Socio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="007A1115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Activo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="007A1115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>presentantes</w:t>
      </w:r>
      <w:r w:rsidR="007A1115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.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En todos los casos, l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os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Socio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Activo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>presentantes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="008168E3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será</w:t>
      </w:r>
      <w:r w:rsidR="0068588D">
        <w:rPr>
          <w:rFonts w:ascii="Arial" w:eastAsia="Times New Roman" w:hAnsi="Arial" w:cs="Arial"/>
          <w:spacing w:val="-3"/>
          <w:sz w:val="24"/>
          <w:szCs w:val="24"/>
          <w:lang w:val="es-ES"/>
        </w:rPr>
        <w:t>n</w:t>
      </w:r>
      <w:r w:rsidR="008168E3"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corresponsable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>s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del reinte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softHyphen/>
        <w:t xml:space="preserve">gro al Centro Naval, de inmediato, de la credencial del </w:t>
      </w:r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Concurrente </w:t>
      </w:r>
      <w:proofErr w:type="spellStart"/>
      <w:r w:rsidR="00CD43C5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y la de sus familia</w:t>
      </w: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softHyphen/>
        <w:t>res.</w:t>
      </w:r>
    </w:p>
    <w:p w:rsidR="00D32A8B" w:rsidRDefault="00D32A8B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</w:p>
    <w:p w:rsidR="007A1115" w:rsidRPr="007A1115" w:rsidRDefault="007A1115" w:rsidP="007A111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  <w:lang w:val="es-ES"/>
        </w:rPr>
      </w:pPr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Los</w:t>
      </w:r>
      <w:r w:rsidR="00A758DE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Concurrentes </w:t>
      </w:r>
      <w:proofErr w:type="spellStart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>Amarristas</w:t>
      </w:r>
      <w:proofErr w:type="spellEnd"/>
      <w:r w:rsidRPr="007A1115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cuya invitación haya sido suspendida no podrán ser postulados nuevamente.</w:t>
      </w:r>
    </w:p>
    <w:p w:rsidR="007A1115" w:rsidRPr="007A1115" w:rsidRDefault="007A1115" w:rsidP="007A1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17101B" w:rsidRDefault="0017101B"/>
    <w:sectPr w:rsidR="0017101B" w:rsidSect="00A758DE">
      <w:headerReference w:type="default" r:id="rId7"/>
      <w:footerReference w:type="default" r:id="rId8"/>
      <w:pgSz w:w="12240" w:h="15840"/>
      <w:pgMar w:top="427" w:right="1440" w:bottom="1440" w:left="1418" w:header="447" w:footer="970" w:gutter="0"/>
      <w:pgNumType w:start="1" w:chapStyle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30" w:rsidRDefault="00B03A30">
      <w:pPr>
        <w:spacing w:after="0" w:line="240" w:lineRule="auto"/>
      </w:pPr>
      <w:r>
        <w:separator/>
      </w:r>
    </w:p>
  </w:endnote>
  <w:endnote w:type="continuationSeparator" w:id="0">
    <w:p w:rsidR="00B03A30" w:rsidRDefault="00B0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14" w:rsidRPr="008A3014" w:rsidRDefault="008168E3" w:rsidP="008A3014">
    <w:pPr>
      <w:pStyle w:val="Piedepgina"/>
      <w:jc w:val="center"/>
    </w:pPr>
    <w:r>
      <w:rPr>
        <w:rStyle w:val="Nmerodepgina"/>
      </w:rPr>
      <w:t xml:space="preserve">Capítulo </w:t>
    </w:r>
    <w:r w:rsidR="00C87D0B">
      <w:rPr>
        <w:rStyle w:val="Nmerodepgina"/>
      </w:rPr>
      <w:t>V</w:t>
    </w:r>
    <w:r>
      <w:rPr>
        <w:rStyle w:val="Nmerodepgina"/>
      </w:rPr>
      <w:t>I</w:t>
    </w:r>
    <w:r w:rsidR="00C87D0B">
      <w:rPr>
        <w:rStyle w:val="Nmerodepgina"/>
      </w:rPr>
      <w:t>I</w:t>
    </w:r>
    <w:r>
      <w:rPr>
        <w:rStyle w:val="Nmerodepgina"/>
      </w:rPr>
      <w:t xml:space="preserve"> 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0AC7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C0AC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30" w:rsidRDefault="00B03A30">
      <w:pPr>
        <w:spacing w:after="0" w:line="240" w:lineRule="auto"/>
      </w:pPr>
      <w:r>
        <w:separator/>
      </w:r>
    </w:p>
  </w:footnote>
  <w:footnote w:type="continuationSeparator" w:id="0">
    <w:p w:rsidR="00B03A30" w:rsidRDefault="00B0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AC" w:rsidRDefault="004A0BAC" w:rsidP="00C718A7">
    <w:pPr>
      <w:pStyle w:val="Encabezado"/>
      <w:pBdr>
        <w:bottom w:val="thickThinSmallGap" w:sz="24" w:space="1" w:color="622423"/>
      </w:pBdr>
      <w:jc w:val="center"/>
      <w:rPr>
        <w:rFonts w:cstheme="minorHAnsi"/>
        <w:sz w:val="28"/>
        <w:szCs w:val="28"/>
      </w:rPr>
    </w:pPr>
  </w:p>
  <w:p w:rsidR="00C718A7" w:rsidRPr="00782570" w:rsidRDefault="006C0AC7" w:rsidP="006C0AC7">
    <w:pPr>
      <w:pStyle w:val="Encabezado"/>
      <w:pBdr>
        <w:bottom w:val="thickThinSmallGap" w:sz="24" w:space="1" w:color="622423"/>
      </w:pBdr>
      <w:tabs>
        <w:tab w:val="center" w:pos="4691"/>
      </w:tabs>
      <w:rPr>
        <w:rFonts w:ascii="Times New Roman" w:hAnsi="Times New Roman" w:cs="Times New Roman"/>
        <w:sz w:val="32"/>
        <w:szCs w:val="32"/>
      </w:rPr>
    </w:pPr>
    <w:r w:rsidRPr="00D224B2">
      <w:rPr>
        <w:noProof/>
        <w:lang w:eastAsia="es-AR"/>
      </w:rPr>
      <w:drawing>
        <wp:inline distT="0" distB="0" distL="0" distR="0" wp14:anchorId="54C0B234" wp14:editId="7F8162CF">
          <wp:extent cx="619125" cy="5238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ab/>
    </w:r>
    <w:r w:rsidR="00C718A7" w:rsidRPr="00782570">
      <w:rPr>
        <w:rFonts w:ascii="Times New Roman" w:hAnsi="Times New Roman" w:cs="Times New Roman"/>
        <w:sz w:val="28"/>
        <w:szCs w:val="28"/>
      </w:rPr>
      <w:t>NORMAS PARA LAS CAP</w:t>
    </w:r>
    <w:r w:rsidR="00782570">
      <w:rPr>
        <w:rFonts w:ascii="Times New Roman" w:hAnsi="Times New Roman" w:cs="Times New Roman"/>
        <w:sz w:val="28"/>
        <w:szCs w:val="28"/>
      </w:rPr>
      <w:t>I</w:t>
    </w:r>
    <w:r w:rsidR="00C718A7" w:rsidRPr="00782570">
      <w:rPr>
        <w:rFonts w:ascii="Times New Roman" w:hAnsi="Times New Roman" w:cs="Times New Roman"/>
        <w:sz w:val="28"/>
        <w:szCs w:val="28"/>
      </w:rPr>
      <w:t>TAN</w:t>
    </w:r>
    <w:r w:rsidR="00782570">
      <w:rPr>
        <w:rFonts w:ascii="Times New Roman" w:hAnsi="Times New Roman" w:cs="Times New Roman"/>
        <w:sz w:val="28"/>
        <w:szCs w:val="28"/>
      </w:rPr>
      <w:t>Í</w:t>
    </w:r>
    <w:r w:rsidR="00C718A7" w:rsidRPr="00782570">
      <w:rPr>
        <w:rFonts w:ascii="Times New Roman" w:hAnsi="Times New Roman" w:cs="Times New Roman"/>
        <w:sz w:val="28"/>
        <w:szCs w:val="28"/>
      </w:rPr>
      <w:t xml:space="preserve">AS </w:t>
    </w:r>
  </w:p>
  <w:p w:rsidR="009C4505" w:rsidRDefault="006C0AC7">
    <w:pPr>
      <w:pStyle w:val="Encabezado"/>
      <w:rPr>
        <w:rFonts w:ascii="Cambria" w:hAnsi="Cambria"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0F7"/>
    <w:multiLevelType w:val="hybridMultilevel"/>
    <w:tmpl w:val="4BD6E3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167"/>
    <w:multiLevelType w:val="hybridMultilevel"/>
    <w:tmpl w:val="24A2C1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0C1"/>
    <w:multiLevelType w:val="hybridMultilevel"/>
    <w:tmpl w:val="29E47A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4303D"/>
    <w:multiLevelType w:val="hybridMultilevel"/>
    <w:tmpl w:val="C0C494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94452"/>
    <w:multiLevelType w:val="hybridMultilevel"/>
    <w:tmpl w:val="4C54BE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A12EB"/>
    <w:multiLevelType w:val="hybridMultilevel"/>
    <w:tmpl w:val="354AA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15"/>
    <w:rsid w:val="0017101B"/>
    <w:rsid w:val="002D2181"/>
    <w:rsid w:val="004A0BAC"/>
    <w:rsid w:val="00596DBF"/>
    <w:rsid w:val="0068588D"/>
    <w:rsid w:val="006C0AC7"/>
    <w:rsid w:val="007762B4"/>
    <w:rsid w:val="00782570"/>
    <w:rsid w:val="007A1115"/>
    <w:rsid w:val="008168E3"/>
    <w:rsid w:val="009F69EE"/>
    <w:rsid w:val="00A758DE"/>
    <w:rsid w:val="00AD3118"/>
    <w:rsid w:val="00B03A30"/>
    <w:rsid w:val="00B5637C"/>
    <w:rsid w:val="00B6213C"/>
    <w:rsid w:val="00C60CA3"/>
    <w:rsid w:val="00C718A7"/>
    <w:rsid w:val="00C87D0B"/>
    <w:rsid w:val="00CD43C5"/>
    <w:rsid w:val="00CE5B6D"/>
    <w:rsid w:val="00D15D5C"/>
    <w:rsid w:val="00D32A8B"/>
    <w:rsid w:val="00E12E5F"/>
    <w:rsid w:val="00EF31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55B08B"/>
  <w15:chartTrackingRefBased/>
  <w15:docId w15:val="{82285AE6-79DF-4D6A-9DC1-1086588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15"/>
  </w:style>
  <w:style w:type="paragraph" w:styleId="Piedepgina">
    <w:name w:val="footer"/>
    <w:basedOn w:val="Normal"/>
    <w:link w:val="PiedepginaCar"/>
    <w:uiPriority w:val="99"/>
    <w:unhideWhenUsed/>
    <w:rsid w:val="007A1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15"/>
  </w:style>
  <w:style w:type="character" w:styleId="Nmerodepgina">
    <w:name w:val="page number"/>
    <w:basedOn w:val="Fuentedeprrafopredeter"/>
    <w:rsid w:val="007A1115"/>
  </w:style>
  <w:style w:type="paragraph" w:styleId="Prrafodelista">
    <w:name w:val="List Paragraph"/>
    <w:basedOn w:val="Normal"/>
    <w:uiPriority w:val="34"/>
    <w:qFormat/>
    <w:rsid w:val="00A758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16</cp:revision>
  <cp:lastPrinted>2018-09-01T14:55:00Z</cp:lastPrinted>
  <dcterms:created xsi:type="dcterms:W3CDTF">2017-10-27T14:06:00Z</dcterms:created>
  <dcterms:modified xsi:type="dcterms:W3CDTF">2018-09-01T14:55:00Z</dcterms:modified>
</cp:coreProperties>
</file>